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default" w:ascii="楷体" w:hAnsi="楷体" w:eastAsia="楷体" w:cs="楷体"/>
          <w:color w:val="000000"/>
          <w:kern w:val="0"/>
          <w:sz w:val="36"/>
          <w:szCs w:val="36"/>
          <w:lang w:val="en-US" w:eastAsia="zh-CN"/>
        </w:rPr>
      </w:pPr>
      <w:r>
        <w:rPr>
          <w:rFonts w:hint="eastAsia" w:ascii="楷体" w:hAnsi="楷体" w:eastAsia="楷体" w:cs="楷体"/>
          <w:color w:val="000000"/>
          <w:kern w:val="0"/>
          <w:sz w:val="36"/>
          <w:szCs w:val="36"/>
          <w:lang w:val="en-US" w:eastAsia="zh-CN"/>
        </w:rPr>
        <w:t>济南护理</w:t>
      </w:r>
    </w:p>
    <w:p>
      <w:pPr>
        <w:ind w:firstLine="560" w:firstLineChars="200"/>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考试形式</w:t>
      </w:r>
    </w:p>
    <w:p>
      <w:pPr>
        <w:numPr>
          <w:ilvl w:val="0"/>
          <w:numId w:val="1"/>
        </w:numPr>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单独招生测试和综合评价测试均采取线下考试方式进行。单独招生测试考试由笔试和面试两部分组成，其中笔试成绩占50%，面试成绩占50%</w:t>
      </w:r>
    </w:p>
    <w:p>
      <w:pPr>
        <w:numPr>
          <w:ilvl w:val="0"/>
          <w:numId w:val="1"/>
        </w:numPr>
        <w:ind w:firstLine="560" w:firstLineChars="200"/>
        <w:rPr>
          <w:rFonts w:ascii="楷体" w:hAnsi="楷体" w:eastAsia="楷体" w:cs="楷体"/>
          <w:color w:val="000000"/>
          <w:kern w:val="0"/>
          <w:sz w:val="28"/>
          <w:szCs w:val="28"/>
        </w:rPr>
      </w:pPr>
      <w:r>
        <w:rPr>
          <w:rFonts w:hint="eastAsia" w:ascii="楷体" w:hAnsi="楷体" w:eastAsia="楷体" w:cs="楷体"/>
          <w:color w:val="000000"/>
          <w:kern w:val="0"/>
          <w:sz w:val="28"/>
          <w:szCs w:val="28"/>
        </w:rPr>
        <w:t>综合评价招生测试考试由面试和高中学业水平评价两部分组成，其中面试成绩占40%，高中学业水平评价成绩占60%。</w:t>
      </w:r>
    </w:p>
    <w:p>
      <w:pPr>
        <w:numPr>
          <w:ilvl w:val="0"/>
          <w:numId w:val="0"/>
        </w:numPr>
        <w:rPr>
          <w:rFonts w:ascii="楷体" w:hAnsi="楷体" w:eastAsia="楷体" w:cs="楷体"/>
          <w:color w:val="000000"/>
          <w:kern w:val="0"/>
          <w:sz w:val="28"/>
          <w:szCs w:val="28"/>
        </w:rPr>
      </w:pPr>
    </w:p>
    <w:p>
      <w:pPr>
        <w:widowControl/>
        <w:shd w:val="clear" w:color="auto" w:fill="FFFFFF"/>
        <w:spacing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（一）单独考试招生</w:t>
      </w:r>
    </w:p>
    <w:p>
      <w:pPr>
        <w:spacing w:line="560" w:lineRule="exact"/>
        <w:ind w:firstLine="643"/>
        <w:rPr>
          <w:rFonts w:ascii="楷体" w:hAnsi="楷体" w:eastAsia="楷体" w:cs="楷体"/>
          <w:color w:val="000000"/>
          <w:kern w:val="0"/>
          <w:sz w:val="28"/>
          <w:szCs w:val="28"/>
        </w:rPr>
      </w:pPr>
      <w:r>
        <w:rPr>
          <w:rFonts w:hint="eastAsia" w:ascii="楷体" w:hAnsi="楷体" w:eastAsia="楷体" w:cs="楷体"/>
          <w:color w:val="000000"/>
          <w:kern w:val="0"/>
          <w:sz w:val="28"/>
          <w:szCs w:val="28"/>
        </w:rPr>
        <w:t>1．单独考试招生笔试</w:t>
      </w:r>
    </w:p>
    <w:p>
      <w:pPr>
        <w:ind w:firstLine="560" w:firstLineChars="200"/>
        <w:rPr>
          <w:rFonts w:ascii="楷体" w:hAnsi="楷体" w:eastAsia="楷体" w:cs="楷体"/>
          <w:color w:val="000000"/>
          <w:kern w:val="0"/>
          <w:sz w:val="28"/>
          <w:szCs w:val="28"/>
        </w:rPr>
      </w:pPr>
      <w:r>
        <w:rPr>
          <w:rFonts w:hint="eastAsia" w:ascii="楷体" w:hAnsi="楷体" w:eastAsia="楷体" w:cs="楷体"/>
          <w:color w:val="000000"/>
          <w:kern w:val="0"/>
          <w:sz w:val="28"/>
          <w:szCs w:val="28"/>
        </w:rPr>
        <w:t>测试范围：高中政治、语文、数学。</w:t>
      </w:r>
    </w:p>
    <w:p>
      <w:pPr>
        <w:spacing w:line="560" w:lineRule="exact"/>
        <w:ind w:firstLine="643"/>
        <w:rPr>
          <w:rFonts w:ascii="楷体" w:hAnsi="楷体" w:eastAsia="楷体" w:cs="楷体"/>
          <w:color w:val="000000"/>
          <w:kern w:val="0"/>
          <w:sz w:val="28"/>
          <w:szCs w:val="28"/>
        </w:rPr>
      </w:pPr>
      <w:r>
        <w:rPr>
          <w:rFonts w:hint="eastAsia" w:ascii="楷体" w:hAnsi="楷体" w:eastAsia="楷体" w:cs="楷体"/>
          <w:color w:val="000000"/>
          <w:kern w:val="0"/>
          <w:sz w:val="28"/>
          <w:szCs w:val="28"/>
        </w:rPr>
        <w:t>2．单独考试招生面试</w:t>
      </w:r>
    </w:p>
    <w:p>
      <w:pPr>
        <w:spacing w:line="560" w:lineRule="exact"/>
        <w:ind w:firstLine="643"/>
        <w:rPr>
          <w:rFonts w:ascii="楷体" w:hAnsi="楷体" w:eastAsia="楷体" w:cs="楷体"/>
          <w:color w:val="000000"/>
          <w:kern w:val="0"/>
          <w:sz w:val="28"/>
          <w:szCs w:val="28"/>
        </w:rPr>
      </w:pPr>
      <w:r>
        <w:rPr>
          <w:rFonts w:hint="eastAsia" w:ascii="楷体" w:hAnsi="楷体" w:eastAsia="楷体" w:cs="楷体"/>
          <w:color w:val="000000"/>
          <w:kern w:val="0"/>
          <w:sz w:val="28"/>
          <w:szCs w:val="28"/>
        </w:rPr>
        <w:t>（1）</w:t>
      </w:r>
      <w:r>
        <w:rPr>
          <w:rFonts w:ascii="楷体" w:hAnsi="楷体" w:eastAsia="楷体" w:cs="楷体"/>
          <w:color w:val="000000"/>
          <w:kern w:val="0"/>
          <w:sz w:val="28"/>
          <w:szCs w:val="28"/>
        </w:rPr>
        <w:t>老年服务业与管理专业</w:t>
      </w:r>
      <w:r>
        <w:rPr>
          <w:rFonts w:hint="eastAsia" w:ascii="楷体" w:hAnsi="楷体" w:eastAsia="楷体" w:cs="楷体"/>
          <w:color w:val="000000"/>
          <w:kern w:val="0"/>
          <w:sz w:val="28"/>
          <w:szCs w:val="28"/>
        </w:rPr>
        <w:t xml:space="preserve">  </w:t>
      </w:r>
      <w:r>
        <w:rPr>
          <w:rFonts w:ascii="楷体" w:hAnsi="楷体" w:eastAsia="楷体" w:cs="楷体"/>
          <w:color w:val="000000"/>
          <w:kern w:val="0"/>
          <w:sz w:val="28"/>
          <w:szCs w:val="28"/>
        </w:rPr>
        <w:t>重点考察考生高中</w:t>
      </w:r>
      <w:r>
        <w:rPr>
          <w:rFonts w:hint="eastAsia" w:ascii="楷体" w:hAnsi="楷体" w:eastAsia="楷体" w:cs="楷体"/>
          <w:color w:val="000000"/>
          <w:kern w:val="0"/>
          <w:sz w:val="28"/>
          <w:szCs w:val="28"/>
        </w:rPr>
        <w:t>水平</w:t>
      </w:r>
      <w:r>
        <w:rPr>
          <w:rFonts w:ascii="楷体" w:hAnsi="楷体" w:eastAsia="楷体" w:cs="楷体"/>
          <w:color w:val="000000"/>
          <w:kern w:val="0"/>
          <w:sz w:val="28"/>
          <w:szCs w:val="28"/>
        </w:rPr>
        <w:t>政治、语文、数学、生</w:t>
      </w:r>
      <w:r>
        <w:rPr>
          <w:rFonts w:hint="eastAsia" w:ascii="楷体" w:hAnsi="楷体" w:eastAsia="楷体" w:cs="楷体"/>
          <w:color w:val="000000"/>
          <w:kern w:val="0"/>
          <w:sz w:val="28"/>
          <w:szCs w:val="28"/>
        </w:rPr>
        <w:t>理</w:t>
      </w:r>
      <w:r>
        <w:rPr>
          <w:rFonts w:ascii="楷体" w:hAnsi="楷体" w:eastAsia="楷体" w:cs="楷体"/>
          <w:color w:val="000000"/>
          <w:kern w:val="0"/>
          <w:sz w:val="28"/>
          <w:szCs w:val="28"/>
        </w:rPr>
        <w:t>等该专业应知应会基础知识，考生对专业的认知能力，涉及老人的社会问题，法律、心理、营养、疾病保健等技能。</w:t>
      </w:r>
    </w:p>
    <w:p>
      <w:pPr>
        <w:spacing w:line="560" w:lineRule="exact"/>
        <w:ind w:firstLine="643"/>
        <w:rPr>
          <w:rFonts w:ascii="楷体" w:hAnsi="楷体" w:eastAsia="楷体" w:cs="楷体"/>
          <w:color w:val="000000"/>
          <w:kern w:val="0"/>
          <w:sz w:val="28"/>
          <w:szCs w:val="28"/>
        </w:rPr>
      </w:pPr>
      <w:r>
        <w:rPr>
          <w:rFonts w:hint="eastAsia" w:ascii="楷体" w:hAnsi="楷体" w:eastAsia="楷体" w:cs="楷体"/>
          <w:color w:val="000000"/>
          <w:kern w:val="0"/>
          <w:sz w:val="28"/>
          <w:szCs w:val="28"/>
        </w:rPr>
        <w:t>（2）</w:t>
      </w:r>
      <w:r>
        <w:rPr>
          <w:rFonts w:ascii="楷体" w:hAnsi="楷体" w:eastAsia="楷体" w:cs="楷体"/>
          <w:color w:val="000000"/>
          <w:kern w:val="0"/>
          <w:sz w:val="28"/>
          <w:szCs w:val="28"/>
        </w:rPr>
        <w:t>药品生产技术专业</w:t>
      </w:r>
      <w:r>
        <w:rPr>
          <w:rFonts w:hint="eastAsia" w:ascii="楷体" w:hAnsi="楷体" w:eastAsia="楷体" w:cs="楷体"/>
          <w:color w:val="000000"/>
          <w:kern w:val="0"/>
          <w:sz w:val="28"/>
          <w:szCs w:val="28"/>
        </w:rPr>
        <w:t xml:space="preserve">  </w:t>
      </w:r>
      <w:r>
        <w:rPr>
          <w:rFonts w:ascii="楷体" w:hAnsi="楷体" w:eastAsia="楷体" w:cs="楷体"/>
          <w:color w:val="000000"/>
          <w:kern w:val="0"/>
          <w:sz w:val="28"/>
          <w:szCs w:val="28"/>
        </w:rPr>
        <w:t>重点考察考生高中</w:t>
      </w:r>
      <w:r>
        <w:rPr>
          <w:rFonts w:hint="eastAsia" w:ascii="楷体" w:hAnsi="楷体" w:eastAsia="楷体" w:cs="楷体"/>
          <w:color w:val="000000"/>
          <w:kern w:val="0"/>
          <w:sz w:val="28"/>
          <w:szCs w:val="28"/>
        </w:rPr>
        <w:t>水平</w:t>
      </w:r>
      <w:r>
        <w:rPr>
          <w:rFonts w:ascii="楷体" w:hAnsi="楷体" w:eastAsia="楷体" w:cs="楷体"/>
          <w:color w:val="000000"/>
          <w:kern w:val="0"/>
          <w:sz w:val="28"/>
          <w:szCs w:val="28"/>
        </w:rPr>
        <w:t>政治、语文、数学、化学、生物等该专业应知应会基础知识，文字阅读理解能力，安全生产基本常识</w:t>
      </w:r>
      <w:r>
        <w:rPr>
          <w:rFonts w:hint="eastAsia" w:ascii="楷体" w:hAnsi="楷体" w:eastAsia="楷体" w:cs="楷体"/>
          <w:color w:val="000000"/>
          <w:kern w:val="0"/>
          <w:sz w:val="28"/>
          <w:szCs w:val="28"/>
        </w:rPr>
        <w:t>、</w:t>
      </w:r>
      <w:r>
        <w:rPr>
          <w:rFonts w:ascii="楷体" w:hAnsi="楷体" w:eastAsia="楷体" w:cs="楷体"/>
          <w:color w:val="000000"/>
          <w:kern w:val="0"/>
          <w:sz w:val="28"/>
          <w:szCs w:val="28"/>
        </w:rPr>
        <w:t>清洁生产意识及技能，对药品管理及使用</w:t>
      </w:r>
      <w:r>
        <w:rPr>
          <w:rFonts w:hint="eastAsia" w:ascii="楷体" w:hAnsi="楷体" w:eastAsia="楷体" w:cs="楷体"/>
          <w:color w:val="000000"/>
          <w:kern w:val="0"/>
          <w:sz w:val="28"/>
          <w:szCs w:val="28"/>
        </w:rPr>
        <w:t>方面</w:t>
      </w:r>
      <w:r>
        <w:rPr>
          <w:rFonts w:ascii="楷体" w:hAnsi="楷体" w:eastAsia="楷体" w:cs="楷体"/>
          <w:color w:val="000000"/>
          <w:kern w:val="0"/>
          <w:sz w:val="28"/>
          <w:szCs w:val="28"/>
        </w:rPr>
        <w:t>常识的了解程度等该专业必须的基本技能。</w:t>
      </w:r>
    </w:p>
    <w:p>
      <w:pPr>
        <w:spacing w:line="560" w:lineRule="exact"/>
        <w:ind w:firstLine="643"/>
        <w:rPr>
          <w:rFonts w:ascii="楷体" w:hAnsi="楷体" w:eastAsia="楷体" w:cs="楷体"/>
          <w:color w:val="000000"/>
          <w:kern w:val="0"/>
          <w:sz w:val="28"/>
          <w:szCs w:val="28"/>
        </w:rPr>
      </w:pPr>
      <w:bookmarkStart w:id="0" w:name="OLE_LINK1"/>
      <w:r>
        <w:rPr>
          <w:rFonts w:hint="eastAsia" w:ascii="楷体" w:hAnsi="楷体" w:eastAsia="楷体" w:cs="楷体"/>
          <w:color w:val="000000"/>
          <w:kern w:val="0"/>
          <w:sz w:val="28"/>
          <w:szCs w:val="28"/>
        </w:rPr>
        <w:t>（3）</w:t>
      </w:r>
      <w:r>
        <w:rPr>
          <w:rFonts w:ascii="楷体" w:hAnsi="楷体" w:eastAsia="楷体" w:cs="楷体"/>
          <w:color w:val="000000"/>
          <w:kern w:val="0"/>
          <w:sz w:val="28"/>
          <w:szCs w:val="28"/>
        </w:rPr>
        <w:t>医疗设备应用技术专业</w:t>
      </w:r>
      <w:r>
        <w:rPr>
          <w:rFonts w:hint="eastAsia" w:ascii="楷体" w:hAnsi="楷体" w:eastAsia="楷体" w:cs="楷体"/>
          <w:color w:val="000000"/>
          <w:kern w:val="0"/>
          <w:sz w:val="28"/>
          <w:szCs w:val="28"/>
        </w:rPr>
        <w:t xml:space="preserve">  </w:t>
      </w:r>
      <w:r>
        <w:rPr>
          <w:rFonts w:ascii="楷体" w:hAnsi="楷体" w:eastAsia="楷体" w:cs="楷体"/>
          <w:color w:val="000000"/>
          <w:kern w:val="0"/>
          <w:sz w:val="28"/>
          <w:szCs w:val="28"/>
        </w:rPr>
        <w:t>重点考察考生高中</w:t>
      </w:r>
      <w:r>
        <w:rPr>
          <w:rFonts w:hint="eastAsia" w:ascii="楷体" w:hAnsi="楷体" w:eastAsia="楷体" w:cs="楷体"/>
          <w:color w:val="000000"/>
          <w:kern w:val="0"/>
          <w:sz w:val="28"/>
          <w:szCs w:val="28"/>
        </w:rPr>
        <w:t>水平</w:t>
      </w:r>
      <w:r>
        <w:rPr>
          <w:rFonts w:ascii="楷体" w:hAnsi="楷体" w:eastAsia="楷体" w:cs="楷体"/>
          <w:color w:val="000000"/>
          <w:kern w:val="0"/>
          <w:sz w:val="28"/>
          <w:szCs w:val="28"/>
        </w:rPr>
        <w:t>政治、语文、数学、物理等该专业应知应会基础知识</w:t>
      </w:r>
      <w:r>
        <w:rPr>
          <w:rFonts w:hint="eastAsia" w:ascii="楷体" w:hAnsi="楷体" w:eastAsia="楷体" w:cs="楷体"/>
          <w:color w:val="000000"/>
          <w:kern w:val="0"/>
          <w:sz w:val="28"/>
          <w:szCs w:val="28"/>
        </w:rPr>
        <w:t>；考生</w:t>
      </w:r>
      <w:r>
        <w:rPr>
          <w:rFonts w:ascii="楷体" w:hAnsi="楷体" w:eastAsia="楷体" w:cs="楷体"/>
          <w:color w:val="000000"/>
          <w:kern w:val="0"/>
          <w:sz w:val="28"/>
          <w:szCs w:val="28"/>
        </w:rPr>
        <w:t>对医疗设备</w:t>
      </w:r>
      <w:r>
        <w:rPr>
          <w:rFonts w:hint="eastAsia" w:ascii="楷体" w:hAnsi="楷体" w:eastAsia="楷体" w:cs="楷体"/>
          <w:color w:val="000000"/>
          <w:kern w:val="0"/>
          <w:sz w:val="28"/>
          <w:szCs w:val="28"/>
        </w:rPr>
        <w:t>的</w:t>
      </w:r>
      <w:r>
        <w:rPr>
          <w:rFonts w:ascii="楷体" w:hAnsi="楷体" w:eastAsia="楷体" w:cs="楷体"/>
          <w:color w:val="000000"/>
          <w:kern w:val="0"/>
          <w:sz w:val="28"/>
          <w:szCs w:val="28"/>
        </w:rPr>
        <w:t>生产、管理</w:t>
      </w:r>
      <w:r>
        <w:rPr>
          <w:rFonts w:hint="eastAsia" w:ascii="楷体" w:hAnsi="楷体" w:eastAsia="楷体" w:cs="楷体"/>
          <w:color w:val="000000"/>
          <w:kern w:val="0"/>
          <w:sz w:val="28"/>
          <w:szCs w:val="28"/>
        </w:rPr>
        <w:t>、</w:t>
      </w:r>
      <w:r>
        <w:rPr>
          <w:rFonts w:ascii="楷体" w:hAnsi="楷体" w:eastAsia="楷体" w:cs="楷体"/>
          <w:color w:val="000000"/>
          <w:kern w:val="0"/>
          <w:sz w:val="28"/>
          <w:szCs w:val="28"/>
        </w:rPr>
        <w:t>使用及电气安全专业常识的了解程度</w:t>
      </w:r>
      <w:r>
        <w:rPr>
          <w:rFonts w:hint="eastAsia" w:ascii="楷体" w:hAnsi="楷体" w:eastAsia="楷体" w:cs="楷体"/>
          <w:color w:val="000000"/>
          <w:kern w:val="0"/>
          <w:sz w:val="28"/>
          <w:szCs w:val="28"/>
        </w:rPr>
        <w:t>,在</w:t>
      </w:r>
      <w:r>
        <w:rPr>
          <w:rFonts w:ascii="楷体" w:hAnsi="楷体" w:eastAsia="楷体" w:cs="楷体"/>
          <w:color w:val="000000"/>
          <w:kern w:val="0"/>
          <w:sz w:val="28"/>
          <w:szCs w:val="28"/>
        </w:rPr>
        <w:t>电子</w:t>
      </w:r>
      <w:r>
        <w:rPr>
          <w:rFonts w:hint="eastAsia" w:ascii="楷体" w:hAnsi="楷体" w:eastAsia="楷体" w:cs="楷体"/>
          <w:color w:val="000000"/>
          <w:kern w:val="0"/>
          <w:sz w:val="28"/>
          <w:szCs w:val="28"/>
        </w:rPr>
        <w:t>、</w:t>
      </w:r>
      <w:r>
        <w:rPr>
          <w:rFonts w:ascii="楷体" w:hAnsi="楷体" w:eastAsia="楷体" w:cs="楷体"/>
          <w:color w:val="000000"/>
          <w:kern w:val="0"/>
          <w:sz w:val="28"/>
          <w:szCs w:val="28"/>
        </w:rPr>
        <w:t>电工基本操作技能等</w:t>
      </w:r>
      <w:r>
        <w:rPr>
          <w:rFonts w:hint="eastAsia" w:ascii="楷体" w:hAnsi="楷体" w:eastAsia="楷体" w:cs="楷体"/>
          <w:color w:val="000000"/>
          <w:kern w:val="0"/>
          <w:sz w:val="28"/>
          <w:szCs w:val="28"/>
        </w:rPr>
        <w:t>方面必备的</w:t>
      </w:r>
      <w:r>
        <w:rPr>
          <w:rFonts w:ascii="楷体" w:hAnsi="楷体" w:eastAsia="楷体" w:cs="楷体"/>
          <w:color w:val="000000"/>
          <w:kern w:val="0"/>
          <w:sz w:val="28"/>
          <w:szCs w:val="28"/>
        </w:rPr>
        <w:t>专业基本技能。</w:t>
      </w:r>
    </w:p>
    <w:bookmarkEnd w:id="0"/>
    <w:p>
      <w:pPr>
        <w:spacing w:line="560" w:lineRule="exact"/>
        <w:ind w:firstLine="643"/>
        <w:rPr>
          <w:rFonts w:ascii="楷体" w:hAnsi="楷体" w:eastAsia="楷体" w:cs="楷体"/>
          <w:color w:val="000000"/>
          <w:kern w:val="0"/>
          <w:sz w:val="28"/>
          <w:szCs w:val="28"/>
        </w:rPr>
      </w:pPr>
      <w:r>
        <w:rPr>
          <w:rFonts w:hint="eastAsia" w:ascii="楷体" w:hAnsi="楷体" w:eastAsia="楷体" w:cs="楷体"/>
          <w:color w:val="000000"/>
          <w:kern w:val="0"/>
          <w:sz w:val="28"/>
          <w:szCs w:val="28"/>
        </w:rPr>
        <w:t>（4）食品营养与检测  重点考察考生高中水平政治、语文、数学、化学、生物等该专业应知应会基础知识，文字阅读理解能力，交流与合作能力，考察考生对该专业的认知程度、学习兴趣，化学实验基本常识、食品安全意识及技能等该专业必须的基本技能。</w:t>
      </w:r>
    </w:p>
    <w:p>
      <w:pPr>
        <w:spacing w:line="560" w:lineRule="exact"/>
        <w:ind w:firstLine="643"/>
        <w:rPr>
          <w:rFonts w:ascii="楷体" w:hAnsi="楷体" w:eastAsia="楷体" w:cs="楷体"/>
          <w:color w:val="000000"/>
          <w:kern w:val="0"/>
          <w:sz w:val="28"/>
          <w:szCs w:val="28"/>
        </w:rPr>
      </w:pPr>
      <w:r>
        <w:rPr>
          <w:rFonts w:hint="eastAsia" w:ascii="楷体" w:hAnsi="楷体" w:eastAsia="楷体" w:cs="楷体"/>
          <w:color w:val="000000"/>
          <w:kern w:val="0"/>
          <w:sz w:val="28"/>
          <w:szCs w:val="28"/>
        </w:rPr>
        <w:t xml:space="preserve">（5）中药学  </w:t>
      </w:r>
      <w:r>
        <w:rPr>
          <w:rFonts w:ascii="楷体" w:hAnsi="楷体" w:eastAsia="楷体" w:cs="楷体"/>
          <w:color w:val="000000"/>
          <w:kern w:val="0"/>
          <w:sz w:val="28"/>
          <w:szCs w:val="28"/>
        </w:rPr>
        <w:t>重点考察考生高中</w:t>
      </w:r>
      <w:r>
        <w:rPr>
          <w:rFonts w:hint="eastAsia" w:ascii="楷体" w:hAnsi="楷体" w:eastAsia="楷体" w:cs="楷体"/>
          <w:color w:val="000000"/>
          <w:kern w:val="0"/>
          <w:sz w:val="28"/>
          <w:szCs w:val="28"/>
        </w:rPr>
        <w:t>水平</w:t>
      </w:r>
      <w:r>
        <w:rPr>
          <w:rFonts w:ascii="楷体" w:hAnsi="楷体" w:eastAsia="楷体" w:cs="楷体"/>
          <w:color w:val="000000"/>
          <w:kern w:val="0"/>
          <w:sz w:val="28"/>
          <w:szCs w:val="28"/>
        </w:rPr>
        <w:t>政治、语文、数学、化学、生物等该专业应知应会基础知识，文字阅读理解能力，</w:t>
      </w:r>
      <w:r>
        <w:rPr>
          <w:rFonts w:hint="eastAsia" w:ascii="楷体" w:hAnsi="楷体" w:eastAsia="楷体" w:cs="楷体"/>
          <w:color w:val="000000"/>
          <w:kern w:val="0"/>
          <w:sz w:val="28"/>
          <w:szCs w:val="28"/>
        </w:rPr>
        <w:t>中医药相关</w:t>
      </w:r>
      <w:r>
        <w:rPr>
          <w:rFonts w:ascii="楷体" w:hAnsi="楷体" w:eastAsia="楷体" w:cs="楷体"/>
          <w:color w:val="000000"/>
          <w:kern w:val="0"/>
          <w:sz w:val="28"/>
          <w:szCs w:val="28"/>
        </w:rPr>
        <w:t>基本常识，对</w:t>
      </w:r>
      <w:r>
        <w:rPr>
          <w:rFonts w:hint="eastAsia" w:ascii="楷体" w:hAnsi="楷体" w:eastAsia="楷体" w:cs="楷体"/>
          <w:color w:val="000000"/>
          <w:kern w:val="0"/>
          <w:sz w:val="28"/>
          <w:szCs w:val="28"/>
        </w:rPr>
        <w:t>中药鉴别、调剂、炮制</w:t>
      </w:r>
      <w:r>
        <w:rPr>
          <w:rFonts w:ascii="楷体" w:hAnsi="楷体" w:eastAsia="楷体" w:cs="楷体"/>
          <w:color w:val="000000"/>
          <w:kern w:val="0"/>
          <w:sz w:val="28"/>
          <w:szCs w:val="28"/>
        </w:rPr>
        <w:t>及使用</w:t>
      </w:r>
      <w:r>
        <w:rPr>
          <w:rFonts w:hint="eastAsia" w:ascii="楷体" w:hAnsi="楷体" w:eastAsia="楷体" w:cs="楷体"/>
          <w:color w:val="000000"/>
          <w:kern w:val="0"/>
          <w:sz w:val="28"/>
          <w:szCs w:val="28"/>
        </w:rPr>
        <w:t>方面</w:t>
      </w:r>
      <w:r>
        <w:rPr>
          <w:rFonts w:ascii="楷体" w:hAnsi="楷体" w:eastAsia="楷体" w:cs="楷体"/>
          <w:color w:val="000000"/>
          <w:kern w:val="0"/>
          <w:sz w:val="28"/>
          <w:szCs w:val="28"/>
        </w:rPr>
        <w:t>常识的了解程度等该专业必须的基本技能。</w:t>
      </w:r>
    </w:p>
    <w:p>
      <w:pPr>
        <w:ind w:firstLine="560" w:firstLineChars="200"/>
        <w:rPr>
          <w:rFonts w:ascii="楷体" w:hAnsi="楷体" w:eastAsia="楷体" w:cs="楷体"/>
          <w:color w:val="000000"/>
          <w:kern w:val="0"/>
          <w:sz w:val="28"/>
          <w:szCs w:val="28"/>
        </w:rPr>
      </w:pPr>
      <w:r>
        <w:rPr>
          <w:rFonts w:hint="eastAsia" w:ascii="楷体" w:hAnsi="楷体" w:eastAsia="楷体" w:cs="楷体"/>
          <w:color w:val="000000"/>
          <w:kern w:val="0"/>
          <w:sz w:val="28"/>
          <w:szCs w:val="28"/>
        </w:rPr>
        <w:t>（二）综合评价招生</w:t>
      </w:r>
    </w:p>
    <w:p>
      <w:pPr>
        <w:ind w:firstLine="560" w:firstLineChars="200"/>
        <w:rPr>
          <w:rFonts w:ascii="楷体" w:hAnsi="楷体" w:eastAsia="楷体" w:cs="楷体"/>
          <w:color w:val="000000"/>
          <w:kern w:val="0"/>
          <w:sz w:val="28"/>
          <w:szCs w:val="28"/>
        </w:rPr>
      </w:pPr>
      <w:r>
        <w:rPr>
          <w:rFonts w:hint="eastAsia" w:ascii="楷体" w:hAnsi="楷体" w:eastAsia="楷体" w:cs="楷体"/>
          <w:color w:val="000000"/>
          <w:kern w:val="0"/>
          <w:sz w:val="28"/>
          <w:szCs w:val="28"/>
        </w:rPr>
        <w:t>1．综合素质评价</w:t>
      </w:r>
    </w:p>
    <w:p>
      <w:pPr>
        <w:ind w:firstLine="560" w:firstLineChars="200"/>
        <w:rPr>
          <w:rFonts w:ascii="楷体" w:hAnsi="楷体" w:eastAsia="楷体" w:cs="楷体"/>
          <w:color w:val="000000"/>
          <w:kern w:val="0"/>
          <w:sz w:val="28"/>
          <w:szCs w:val="28"/>
        </w:rPr>
      </w:pPr>
      <w:r>
        <w:rPr>
          <w:rFonts w:hint="eastAsia" w:ascii="楷体" w:hAnsi="楷体" w:eastAsia="楷体" w:cs="楷体"/>
          <w:color w:val="000000"/>
          <w:kern w:val="0"/>
          <w:sz w:val="28"/>
          <w:szCs w:val="28"/>
        </w:rPr>
        <w:t>按照考生高中阶段综合素质评价体系和办法，对考生的高中阶段学生综合素质档案材料进行研究分析，采取集体评议等方式对考生综合素质情况做出客观评价并赋予一定分值。</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371"/>
        <w:gridCol w:w="949"/>
        <w:gridCol w:w="4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序号</w:t>
            </w:r>
          </w:p>
        </w:tc>
        <w:tc>
          <w:tcPr>
            <w:tcW w:w="1391"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项目</w:t>
            </w:r>
          </w:p>
        </w:tc>
        <w:tc>
          <w:tcPr>
            <w:tcW w:w="557"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百分比%</w:t>
            </w:r>
          </w:p>
        </w:tc>
        <w:tc>
          <w:tcPr>
            <w:tcW w:w="2627"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赋分办法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24"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1</w:t>
            </w:r>
          </w:p>
        </w:tc>
        <w:tc>
          <w:tcPr>
            <w:tcW w:w="1391"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奖惩情况</w:t>
            </w:r>
          </w:p>
        </w:tc>
        <w:tc>
          <w:tcPr>
            <w:tcW w:w="557"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15</w:t>
            </w:r>
          </w:p>
        </w:tc>
        <w:tc>
          <w:tcPr>
            <w:tcW w:w="2627" w:type="pct"/>
            <w:noWrap w:val="0"/>
            <w:vAlign w:val="top"/>
          </w:tcPr>
          <w:p>
            <w:pPr>
              <w:spacing w:line="560" w:lineRule="exact"/>
              <w:rPr>
                <w:rFonts w:ascii="楷体" w:hAnsi="楷体" w:eastAsia="楷体" w:cs="楷体"/>
                <w:color w:val="000000"/>
                <w:kern w:val="0"/>
                <w:sz w:val="24"/>
                <w:szCs w:val="24"/>
              </w:rPr>
            </w:pPr>
            <w:r>
              <w:rPr>
                <w:rFonts w:hint="eastAsia" w:ascii="楷体" w:hAnsi="楷体" w:eastAsia="楷体" w:cs="楷体"/>
                <w:b/>
                <w:color w:val="000000"/>
                <w:kern w:val="0"/>
                <w:sz w:val="24"/>
                <w:szCs w:val="24"/>
              </w:rPr>
              <w:t>校级以上政府部门综合荣誉，每项计3分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2</w:t>
            </w:r>
          </w:p>
        </w:tc>
        <w:tc>
          <w:tcPr>
            <w:tcW w:w="1391"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学业水平考试成绩</w:t>
            </w:r>
          </w:p>
        </w:tc>
        <w:tc>
          <w:tcPr>
            <w:tcW w:w="557"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40</w:t>
            </w:r>
          </w:p>
        </w:tc>
        <w:tc>
          <w:tcPr>
            <w:tcW w:w="2627" w:type="pct"/>
            <w:noWrap w:val="0"/>
            <w:vAlign w:val="top"/>
          </w:tcPr>
          <w:p>
            <w:pPr>
              <w:adjustRightInd w:val="0"/>
              <w:snapToGrid w:val="0"/>
              <w:rPr>
                <w:rFonts w:ascii="楷体" w:hAnsi="楷体" w:eastAsia="楷体" w:cs="楷体"/>
                <w:color w:val="000000"/>
                <w:kern w:val="0"/>
                <w:sz w:val="24"/>
                <w:szCs w:val="24"/>
              </w:rPr>
            </w:pPr>
            <w:r>
              <w:rPr>
                <w:rFonts w:hint="eastAsia" w:ascii="楷体" w:hAnsi="楷体" w:eastAsia="楷体" w:cs="楷体"/>
                <w:b/>
                <w:color w:val="000000"/>
                <w:kern w:val="0"/>
                <w:sz w:val="24"/>
                <w:szCs w:val="24"/>
              </w:rPr>
              <w:t>语文、数学、外语、思政、历史、地理、物理、化学、生物、信息技术10门课，每门课合格计4分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3</w:t>
            </w:r>
          </w:p>
        </w:tc>
        <w:tc>
          <w:tcPr>
            <w:tcW w:w="1391"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校本课程修习</w:t>
            </w:r>
          </w:p>
        </w:tc>
        <w:tc>
          <w:tcPr>
            <w:tcW w:w="557"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10</w:t>
            </w:r>
          </w:p>
        </w:tc>
        <w:tc>
          <w:tcPr>
            <w:tcW w:w="2627" w:type="pct"/>
            <w:noWrap w:val="0"/>
            <w:vAlign w:val="top"/>
          </w:tcPr>
          <w:p>
            <w:pPr>
              <w:adjustRightInd w:val="0"/>
              <w:snapToGrid w:val="0"/>
              <w:rPr>
                <w:rFonts w:ascii="楷体" w:hAnsi="楷体" w:eastAsia="楷体" w:cs="楷体"/>
                <w:color w:val="000000"/>
                <w:kern w:val="0"/>
                <w:sz w:val="24"/>
                <w:szCs w:val="24"/>
              </w:rPr>
            </w:pPr>
            <w:r>
              <w:rPr>
                <w:rFonts w:hint="eastAsia" w:ascii="楷体" w:hAnsi="楷体" w:eastAsia="楷体" w:cs="楷体"/>
                <w:b/>
                <w:color w:val="000000"/>
                <w:kern w:val="0"/>
                <w:sz w:val="24"/>
                <w:szCs w:val="24"/>
              </w:rPr>
              <w:t>&lt;60计0分，60-80分之间计1分，&gt;80计2分</w:t>
            </w:r>
          </w:p>
          <w:p>
            <w:pPr>
              <w:adjustRightInd w:val="0"/>
              <w:snapToGrid w:val="0"/>
              <w:rPr>
                <w:rFonts w:ascii="楷体" w:hAnsi="楷体" w:eastAsia="楷体" w:cs="楷体"/>
                <w:color w:val="000000"/>
                <w:kern w:val="0"/>
                <w:sz w:val="24"/>
                <w:szCs w:val="24"/>
              </w:rPr>
            </w:pPr>
            <w:r>
              <w:rPr>
                <w:rFonts w:hint="eastAsia" w:ascii="楷体" w:hAnsi="楷体" w:eastAsia="楷体" w:cs="楷体"/>
                <w:b/>
                <w:color w:val="000000"/>
                <w:kern w:val="0"/>
                <w:sz w:val="24"/>
                <w:szCs w:val="24"/>
              </w:rPr>
              <w:t>A=2，B=1，C=0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4</w:t>
            </w:r>
          </w:p>
        </w:tc>
        <w:tc>
          <w:tcPr>
            <w:tcW w:w="1391"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研究性学习及创新成果</w:t>
            </w:r>
          </w:p>
        </w:tc>
        <w:tc>
          <w:tcPr>
            <w:tcW w:w="557"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6</w:t>
            </w:r>
          </w:p>
        </w:tc>
        <w:tc>
          <w:tcPr>
            <w:tcW w:w="2627" w:type="pct"/>
            <w:noWrap w:val="0"/>
            <w:vAlign w:val="top"/>
          </w:tcPr>
          <w:p>
            <w:pPr>
              <w:adjustRightInd w:val="0"/>
              <w:snapToGrid w:val="0"/>
              <w:rPr>
                <w:rFonts w:ascii="楷体" w:hAnsi="楷体" w:eastAsia="楷体" w:cs="楷体"/>
                <w:color w:val="000000"/>
                <w:kern w:val="0"/>
                <w:sz w:val="24"/>
                <w:szCs w:val="24"/>
              </w:rPr>
            </w:pPr>
            <w:r>
              <w:rPr>
                <w:rFonts w:hint="eastAsia" w:ascii="楷体" w:hAnsi="楷体" w:eastAsia="楷体" w:cs="楷体"/>
                <w:b/>
                <w:color w:val="000000"/>
                <w:kern w:val="0"/>
                <w:sz w:val="24"/>
                <w:szCs w:val="24"/>
              </w:rPr>
              <w:t>每项2分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5</w:t>
            </w:r>
          </w:p>
        </w:tc>
        <w:tc>
          <w:tcPr>
            <w:tcW w:w="1391" w:type="pct"/>
            <w:noWrap w:val="0"/>
            <w:vAlign w:val="top"/>
          </w:tcPr>
          <w:p>
            <w:pPr>
              <w:spacing w:line="560" w:lineRule="exact"/>
              <w:jc w:val="center"/>
              <w:rPr>
                <w:rFonts w:ascii="楷体" w:hAnsi="楷体" w:eastAsia="楷体" w:cs="楷体"/>
                <w:b/>
                <w:color w:val="000000"/>
                <w:kern w:val="0"/>
                <w:sz w:val="24"/>
                <w:szCs w:val="24"/>
              </w:rPr>
            </w:pPr>
            <w:r>
              <w:rPr>
                <w:rFonts w:hint="eastAsia" w:ascii="楷体" w:hAnsi="楷体" w:eastAsia="楷体" w:cs="楷体"/>
                <w:b/>
                <w:color w:val="000000"/>
                <w:kern w:val="0"/>
                <w:sz w:val="24"/>
                <w:szCs w:val="24"/>
              </w:rPr>
              <w:t>体育毕业成绩</w:t>
            </w:r>
          </w:p>
        </w:tc>
        <w:tc>
          <w:tcPr>
            <w:tcW w:w="557"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20</w:t>
            </w:r>
          </w:p>
        </w:tc>
        <w:tc>
          <w:tcPr>
            <w:tcW w:w="2627" w:type="pct"/>
            <w:noWrap w:val="0"/>
            <w:vAlign w:val="top"/>
          </w:tcPr>
          <w:p>
            <w:pPr>
              <w:adjustRightInd w:val="0"/>
              <w:snapToGrid w:val="0"/>
              <w:rPr>
                <w:rFonts w:ascii="楷体" w:hAnsi="楷体" w:eastAsia="楷体" w:cs="楷体"/>
                <w:color w:val="000000"/>
                <w:kern w:val="0"/>
                <w:sz w:val="24"/>
                <w:szCs w:val="24"/>
              </w:rPr>
            </w:pPr>
            <w:r>
              <w:rPr>
                <w:rFonts w:hint="eastAsia" w:ascii="楷体" w:hAnsi="楷体" w:eastAsia="楷体" w:cs="楷体"/>
                <w:b/>
                <w:color w:val="000000"/>
                <w:kern w:val="0"/>
                <w:sz w:val="24"/>
                <w:szCs w:val="24"/>
              </w:rPr>
              <w:t>按照实际成绩计算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6</w:t>
            </w:r>
          </w:p>
        </w:tc>
        <w:tc>
          <w:tcPr>
            <w:tcW w:w="1391"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社会实践</w:t>
            </w:r>
          </w:p>
        </w:tc>
        <w:tc>
          <w:tcPr>
            <w:tcW w:w="557" w:type="pct"/>
            <w:noWrap w:val="0"/>
            <w:vAlign w:val="top"/>
          </w:tcPr>
          <w:p>
            <w:pPr>
              <w:spacing w:line="560" w:lineRule="exact"/>
              <w:jc w:val="center"/>
              <w:rPr>
                <w:rFonts w:ascii="楷体" w:hAnsi="楷体" w:eastAsia="楷体" w:cs="楷体"/>
                <w:color w:val="000000"/>
                <w:kern w:val="0"/>
                <w:sz w:val="24"/>
                <w:szCs w:val="24"/>
              </w:rPr>
            </w:pPr>
            <w:r>
              <w:rPr>
                <w:rFonts w:hint="eastAsia" w:ascii="楷体" w:hAnsi="楷体" w:eastAsia="楷体" w:cs="楷体"/>
                <w:b/>
                <w:color w:val="000000"/>
                <w:kern w:val="0"/>
                <w:sz w:val="24"/>
                <w:szCs w:val="24"/>
              </w:rPr>
              <w:t>9</w:t>
            </w:r>
          </w:p>
        </w:tc>
        <w:tc>
          <w:tcPr>
            <w:tcW w:w="2627" w:type="pct"/>
            <w:noWrap w:val="0"/>
            <w:vAlign w:val="top"/>
          </w:tcPr>
          <w:p>
            <w:pPr>
              <w:adjustRightInd w:val="0"/>
              <w:snapToGrid w:val="0"/>
              <w:rPr>
                <w:rFonts w:ascii="楷体" w:hAnsi="楷体" w:eastAsia="楷体" w:cs="楷体"/>
                <w:color w:val="000000"/>
                <w:kern w:val="0"/>
                <w:sz w:val="24"/>
                <w:szCs w:val="24"/>
              </w:rPr>
            </w:pPr>
            <w:r>
              <w:rPr>
                <w:rFonts w:hint="eastAsia" w:ascii="楷体" w:hAnsi="楷体" w:eastAsia="楷体" w:cs="楷体"/>
                <w:b/>
                <w:color w:val="000000"/>
                <w:kern w:val="0"/>
                <w:sz w:val="24"/>
                <w:szCs w:val="24"/>
              </w:rPr>
              <w:t>每一次活动计分3分</w:t>
            </w:r>
          </w:p>
        </w:tc>
      </w:tr>
    </w:tbl>
    <w:p>
      <w:pPr>
        <w:ind w:firstLine="560" w:firstLineChars="200"/>
        <w:rPr>
          <w:rFonts w:ascii="楷体" w:hAnsi="楷体" w:eastAsia="楷体" w:cs="楷体"/>
          <w:color w:val="000000"/>
          <w:kern w:val="0"/>
          <w:sz w:val="28"/>
          <w:szCs w:val="28"/>
        </w:rPr>
      </w:pPr>
      <w:r>
        <w:rPr>
          <w:rFonts w:hint="eastAsia" w:ascii="楷体" w:hAnsi="楷体" w:eastAsia="楷体" w:cs="楷体"/>
          <w:color w:val="000000"/>
          <w:kern w:val="0"/>
          <w:sz w:val="28"/>
          <w:szCs w:val="28"/>
        </w:rPr>
        <w:t>2．职业适应性面试考试</w:t>
      </w:r>
    </w:p>
    <w:p>
      <w:pPr>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xml:space="preserve">考察各专业考生的道德品质、交流与合作能力、解决问题能力和创新能力等，考察考生对专业的了解程度、兴趣爱好、职业价值观、职业性格与报考专业（职业）的匹配程度，以及学生学习及将来从事报考专业（职业）所应具备的潜能。  </w:t>
      </w:r>
    </w:p>
    <w:p>
      <w:pPr>
        <w:widowControl/>
        <w:shd w:val="clear" w:color="auto" w:fill="FFFFFF"/>
        <w:ind w:firstLine="480"/>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联系方式：</w:t>
      </w:r>
    </w:p>
    <w:p>
      <w:pPr>
        <w:widowControl/>
        <w:shd w:val="clear" w:color="auto" w:fill="FFFFFF"/>
        <w:ind w:firstLine="480"/>
        <w:rPr>
          <w:rFonts w:ascii="楷体" w:hAnsi="楷体" w:eastAsia="楷体" w:cs="楷体"/>
          <w:kern w:val="0"/>
          <w:sz w:val="28"/>
          <w:szCs w:val="28"/>
        </w:rPr>
      </w:pPr>
      <w:r>
        <w:rPr>
          <w:rFonts w:hint="eastAsia" w:ascii="楷体" w:hAnsi="楷体" w:eastAsia="楷体" w:cs="楷体"/>
          <w:kern w:val="0"/>
          <w:sz w:val="28"/>
          <w:szCs w:val="28"/>
        </w:rPr>
        <w:t>学院地址：济南市历城区港西路3636号    邮政编码：250102</w:t>
      </w:r>
    </w:p>
    <w:p>
      <w:pPr>
        <w:widowControl/>
        <w:shd w:val="clear" w:color="auto" w:fill="FFFFFF"/>
        <w:ind w:firstLine="480"/>
        <w:rPr>
          <w:rFonts w:ascii="楷体" w:hAnsi="楷体" w:eastAsia="楷体" w:cs="楷体"/>
          <w:kern w:val="0"/>
          <w:sz w:val="28"/>
          <w:szCs w:val="28"/>
        </w:rPr>
      </w:pPr>
      <w:r>
        <w:rPr>
          <w:rFonts w:hint="eastAsia" w:ascii="楷体" w:hAnsi="楷体" w:eastAsia="楷体" w:cs="楷体"/>
          <w:kern w:val="0"/>
          <w:sz w:val="28"/>
          <w:szCs w:val="28"/>
        </w:rPr>
        <w:t>招生咨询电话：0531－87954412；87192205；87192206；87192300</w:t>
      </w:r>
    </w:p>
    <w:p>
      <w:pPr>
        <w:widowControl/>
        <w:shd w:val="clear" w:color="auto" w:fill="FFFFFF"/>
        <w:ind w:firstLine="480"/>
        <w:rPr>
          <w:rFonts w:hint="eastAsia" w:ascii="楷体" w:hAnsi="楷体" w:eastAsia="楷体" w:cs="楷体"/>
          <w:kern w:val="0"/>
          <w:sz w:val="28"/>
          <w:szCs w:val="28"/>
        </w:rPr>
      </w:pPr>
      <w:r>
        <w:rPr>
          <w:rFonts w:hint="eastAsia" w:ascii="楷体" w:hAnsi="楷体" w:eastAsia="楷体" w:cs="楷体"/>
          <w:kern w:val="0"/>
          <w:sz w:val="28"/>
          <w:szCs w:val="28"/>
        </w:rPr>
        <w:t>网址：</w:t>
      </w:r>
      <w:r>
        <w:rPr>
          <w:rFonts w:hint="eastAsia" w:ascii="楷体" w:hAnsi="楷体" w:eastAsia="楷体" w:cs="楷体"/>
          <w:kern w:val="0"/>
          <w:sz w:val="28"/>
          <w:szCs w:val="28"/>
        </w:rPr>
        <w:fldChar w:fldCharType="begin"/>
      </w:r>
      <w:r>
        <w:rPr>
          <w:rFonts w:hint="eastAsia" w:ascii="楷体" w:hAnsi="楷体" w:eastAsia="楷体" w:cs="楷体"/>
          <w:kern w:val="0"/>
          <w:sz w:val="28"/>
          <w:szCs w:val="28"/>
        </w:rPr>
        <w:instrText xml:space="preserve"> HYPERLINK "http://www.jnnvc.cn" </w:instrText>
      </w:r>
      <w:r>
        <w:rPr>
          <w:rFonts w:hint="eastAsia" w:ascii="楷体" w:hAnsi="楷体" w:eastAsia="楷体" w:cs="楷体"/>
          <w:kern w:val="0"/>
          <w:sz w:val="28"/>
          <w:szCs w:val="28"/>
        </w:rPr>
        <w:fldChar w:fldCharType="separate"/>
      </w:r>
      <w:r>
        <w:rPr>
          <w:rStyle w:val="5"/>
          <w:rFonts w:hint="eastAsia" w:ascii="楷体" w:hAnsi="楷体" w:eastAsia="楷体" w:cs="楷体"/>
          <w:kern w:val="0"/>
          <w:sz w:val="28"/>
          <w:szCs w:val="28"/>
        </w:rPr>
        <w:t>http://www.jnnvc.cn</w:t>
      </w:r>
      <w:r>
        <w:rPr>
          <w:rFonts w:hint="eastAsia" w:ascii="楷体" w:hAnsi="楷体" w:eastAsia="楷体" w:cs="楷体"/>
          <w:kern w:val="0"/>
          <w:sz w:val="28"/>
          <w:szCs w:val="28"/>
        </w:rPr>
        <w:fldChar w:fldCharType="end"/>
      </w:r>
    </w:p>
    <w:p>
      <w:pPr>
        <w:widowControl/>
        <w:shd w:val="clear" w:color="auto" w:fill="FFFFFF"/>
        <w:ind w:firstLine="480"/>
        <w:rPr>
          <w:rFonts w:hint="eastAsia" w:ascii="楷体" w:hAnsi="楷体" w:eastAsia="楷体" w:cs="楷体"/>
          <w:kern w:val="0"/>
          <w:sz w:val="28"/>
          <w:szCs w:val="28"/>
        </w:rPr>
      </w:pPr>
    </w:p>
    <w:p>
      <w:pPr>
        <w:widowControl/>
        <w:shd w:val="clear" w:color="auto" w:fill="FFFFFF"/>
        <w:ind w:firstLine="480"/>
        <w:rPr>
          <w:rFonts w:hint="eastAsia" w:ascii="楷体" w:hAnsi="楷体" w:eastAsia="楷体" w:cs="楷体"/>
          <w:kern w:val="0"/>
          <w:sz w:val="28"/>
          <w:szCs w:val="28"/>
        </w:rPr>
      </w:pPr>
    </w:p>
    <w:p>
      <w:pPr>
        <w:widowControl/>
        <w:shd w:val="clear" w:color="auto" w:fill="FFFFFF"/>
        <w:jc w:val="center"/>
        <w:rPr>
          <w:rFonts w:ascii="楷体" w:hAnsi="楷体" w:eastAsia="楷体"/>
          <w:b/>
          <w:bCs/>
          <w:kern w:val="0"/>
          <w:sz w:val="32"/>
          <w:szCs w:val="32"/>
        </w:rPr>
      </w:pPr>
      <w:r>
        <w:rPr>
          <w:rFonts w:hint="eastAsia" w:ascii="楷体" w:hAnsi="楷体" w:eastAsia="楷体"/>
          <w:b/>
          <w:bCs/>
          <w:kern w:val="0"/>
          <w:sz w:val="32"/>
          <w:szCs w:val="32"/>
        </w:rPr>
        <w:t>济南护理职业学院</w:t>
      </w:r>
    </w:p>
    <w:p>
      <w:pPr>
        <w:widowControl/>
        <w:shd w:val="clear" w:color="auto" w:fill="FFFFFF"/>
        <w:spacing w:after="156" w:afterLines="50"/>
        <w:jc w:val="center"/>
        <w:rPr>
          <w:rFonts w:ascii="楷体" w:hAnsi="楷体" w:eastAsia="楷体"/>
          <w:b/>
          <w:bCs/>
          <w:kern w:val="0"/>
          <w:sz w:val="32"/>
          <w:szCs w:val="32"/>
        </w:rPr>
      </w:pPr>
      <w:r>
        <w:rPr>
          <w:rFonts w:hint="eastAsia" w:ascii="楷体" w:hAnsi="楷体" w:eastAsia="楷体"/>
          <w:b/>
          <w:bCs/>
          <w:kern w:val="0"/>
          <w:sz w:val="32"/>
          <w:szCs w:val="32"/>
        </w:rPr>
        <w:t>2021年单独招生、综合评价招生分专业计划</w:t>
      </w:r>
    </w:p>
    <w:tbl>
      <w:tblPr>
        <w:tblStyle w:val="3"/>
        <w:tblW w:w="0" w:type="auto"/>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369"/>
        <w:gridCol w:w="1450"/>
        <w:gridCol w:w="1575"/>
        <w:gridCol w:w="934"/>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b/>
                <w:bCs/>
                <w:kern w:val="0"/>
                <w:sz w:val="28"/>
                <w:szCs w:val="28"/>
              </w:rPr>
            </w:pPr>
            <w:r>
              <w:rPr>
                <w:rFonts w:hint="eastAsia" w:ascii="楷体" w:hAnsi="楷体" w:eastAsia="楷体"/>
                <w:b/>
                <w:bCs/>
                <w:kern w:val="0"/>
                <w:sz w:val="28"/>
                <w:szCs w:val="28"/>
              </w:rPr>
              <w:t>序号</w:t>
            </w:r>
          </w:p>
        </w:tc>
        <w:tc>
          <w:tcPr>
            <w:tcW w:w="2620"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b/>
                <w:bCs/>
                <w:kern w:val="0"/>
                <w:sz w:val="28"/>
                <w:szCs w:val="28"/>
              </w:rPr>
            </w:pPr>
            <w:r>
              <w:rPr>
                <w:rFonts w:hint="eastAsia" w:ascii="楷体" w:hAnsi="楷体" w:eastAsia="楷体"/>
                <w:b/>
                <w:bCs/>
                <w:kern w:val="0"/>
                <w:sz w:val="28"/>
                <w:szCs w:val="28"/>
              </w:rPr>
              <w:t>招生专业</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b/>
                <w:bCs/>
                <w:kern w:val="0"/>
                <w:sz w:val="28"/>
                <w:szCs w:val="28"/>
              </w:rPr>
            </w:pPr>
            <w:r>
              <w:rPr>
                <w:rFonts w:hint="eastAsia" w:ascii="楷体" w:hAnsi="楷体" w:eastAsia="楷体"/>
                <w:b/>
                <w:bCs/>
                <w:kern w:val="0"/>
                <w:sz w:val="28"/>
                <w:szCs w:val="28"/>
              </w:rPr>
              <w:t>单独招生</w:t>
            </w:r>
          </w:p>
          <w:p>
            <w:pPr>
              <w:widowControl/>
              <w:jc w:val="center"/>
              <w:rPr>
                <w:rFonts w:ascii="楷体" w:hAnsi="楷体" w:eastAsia="楷体"/>
                <w:b/>
                <w:bCs/>
                <w:kern w:val="0"/>
                <w:sz w:val="28"/>
                <w:szCs w:val="28"/>
              </w:rPr>
            </w:pPr>
            <w:r>
              <w:rPr>
                <w:rFonts w:hint="eastAsia" w:ascii="楷体" w:hAnsi="楷体" w:eastAsia="楷体"/>
                <w:b/>
                <w:bCs/>
                <w:kern w:val="0"/>
                <w:sz w:val="28"/>
                <w:szCs w:val="28"/>
              </w:rPr>
              <w:t>人数</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b/>
                <w:bCs/>
                <w:kern w:val="0"/>
                <w:sz w:val="28"/>
                <w:szCs w:val="28"/>
              </w:rPr>
            </w:pPr>
            <w:r>
              <w:rPr>
                <w:rFonts w:hint="eastAsia" w:ascii="楷体" w:hAnsi="楷体" w:eastAsia="楷体"/>
                <w:b/>
                <w:bCs/>
                <w:kern w:val="0"/>
                <w:sz w:val="28"/>
                <w:szCs w:val="28"/>
              </w:rPr>
              <w:t>综合评价</w:t>
            </w:r>
          </w:p>
          <w:p>
            <w:pPr>
              <w:widowControl/>
              <w:jc w:val="center"/>
              <w:rPr>
                <w:rFonts w:ascii="楷体" w:hAnsi="楷体" w:eastAsia="楷体"/>
                <w:b/>
                <w:bCs/>
                <w:kern w:val="0"/>
                <w:sz w:val="28"/>
                <w:szCs w:val="28"/>
              </w:rPr>
            </w:pPr>
            <w:r>
              <w:rPr>
                <w:rFonts w:hint="eastAsia" w:ascii="楷体" w:hAnsi="楷体" w:eastAsia="楷体"/>
                <w:b/>
                <w:bCs/>
                <w:kern w:val="0"/>
                <w:sz w:val="28"/>
                <w:szCs w:val="28"/>
              </w:rPr>
              <w:t>招生人数</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b/>
                <w:bCs/>
                <w:kern w:val="0"/>
                <w:sz w:val="28"/>
                <w:szCs w:val="28"/>
              </w:rPr>
            </w:pPr>
            <w:r>
              <w:rPr>
                <w:rFonts w:hint="eastAsia" w:ascii="楷体" w:hAnsi="楷体" w:eastAsia="楷体"/>
                <w:b/>
                <w:bCs/>
                <w:kern w:val="0"/>
                <w:sz w:val="28"/>
                <w:szCs w:val="28"/>
              </w:rPr>
              <w:t>学制</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b/>
                <w:bCs/>
                <w:kern w:val="0"/>
                <w:sz w:val="28"/>
                <w:szCs w:val="28"/>
              </w:rPr>
            </w:pPr>
            <w:r>
              <w:rPr>
                <w:rFonts w:hint="eastAsia" w:ascii="楷体" w:hAnsi="楷体" w:eastAsia="楷体"/>
                <w:b/>
                <w:bCs/>
                <w:kern w:val="0"/>
                <w:sz w:val="28"/>
                <w:szCs w:val="28"/>
              </w:rPr>
              <w:t>学费</w:t>
            </w:r>
          </w:p>
          <w:p>
            <w:pPr>
              <w:widowControl/>
              <w:jc w:val="center"/>
              <w:rPr>
                <w:rFonts w:ascii="楷体" w:hAnsi="楷体" w:eastAsia="楷体"/>
                <w:b/>
                <w:bCs/>
                <w:kern w:val="0"/>
                <w:sz w:val="28"/>
                <w:szCs w:val="28"/>
              </w:rPr>
            </w:pPr>
            <w:r>
              <w:rPr>
                <w:rFonts w:hint="eastAsia" w:ascii="楷体" w:hAnsi="楷体" w:eastAsia="楷体"/>
                <w:b/>
                <w:bCs/>
                <w:kern w:val="0"/>
                <w:sz w:val="28"/>
                <w:szCs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1</w:t>
            </w:r>
          </w:p>
        </w:tc>
        <w:tc>
          <w:tcPr>
            <w:tcW w:w="2620" w:type="dxa"/>
            <w:tcBorders>
              <w:top w:val="single" w:color="auto" w:sz="4" w:space="0"/>
              <w:left w:val="nil"/>
              <w:bottom w:val="single" w:color="auto" w:sz="4" w:space="0"/>
              <w:right w:val="single" w:color="auto" w:sz="4" w:space="0"/>
            </w:tcBorders>
            <w:vAlign w:val="center"/>
          </w:tcPr>
          <w:p>
            <w:pPr>
              <w:widowControl/>
              <w:spacing w:line="360" w:lineRule="auto"/>
              <w:rPr>
                <w:rFonts w:ascii="楷体" w:hAnsi="楷体" w:eastAsia="楷体"/>
                <w:kern w:val="0"/>
                <w:sz w:val="28"/>
                <w:szCs w:val="28"/>
              </w:rPr>
            </w:pPr>
            <w:r>
              <w:rPr>
                <w:rFonts w:hint="eastAsia" w:ascii="楷体" w:hAnsi="楷体" w:eastAsia="楷体"/>
                <w:kern w:val="0"/>
                <w:sz w:val="28"/>
                <w:szCs w:val="28"/>
              </w:rPr>
              <w:t>智慧健康养老服务与管理</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40</w:t>
            </w: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40</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三年</w:t>
            </w: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2</w:t>
            </w:r>
          </w:p>
        </w:tc>
        <w:tc>
          <w:tcPr>
            <w:tcW w:w="2620" w:type="dxa"/>
            <w:tcBorders>
              <w:top w:val="single" w:color="auto" w:sz="4" w:space="0"/>
              <w:left w:val="nil"/>
              <w:bottom w:val="single" w:color="auto" w:sz="4" w:space="0"/>
              <w:right w:val="single" w:color="auto" w:sz="4" w:space="0"/>
            </w:tcBorders>
          </w:tcPr>
          <w:p>
            <w:pPr>
              <w:widowControl/>
              <w:spacing w:line="360" w:lineRule="auto"/>
              <w:jc w:val="left"/>
              <w:rPr>
                <w:rFonts w:ascii="楷体" w:hAnsi="楷体" w:eastAsia="楷体"/>
                <w:kern w:val="0"/>
                <w:sz w:val="28"/>
                <w:szCs w:val="28"/>
              </w:rPr>
            </w:pPr>
            <w:r>
              <w:rPr>
                <w:rFonts w:hint="eastAsia" w:ascii="楷体" w:hAnsi="楷体" w:eastAsia="楷体"/>
                <w:kern w:val="0"/>
                <w:sz w:val="28"/>
                <w:szCs w:val="28"/>
              </w:rPr>
              <w:t>药品生产技术</w:t>
            </w:r>
          </w:p>
        </w:tc>
        <w:tc>
          <w:tcPr>
            <w:tcW w:w="1559"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20</w:t>
            </w:r>
          </w:p>
        </w:tc>
        <w:tc>
          <w:tcPr>
            <w:tcW w:w="1701"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20</w:t>
            </w:r>
          </w:p>
        </w:tc>
        <w:tc>
          <w:tcPr>
            <w:tcW w:w="992"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三年</w:t>
            </w:r>
          </w:p>
        </w:tc>
        <w:tc>
          <w:tcPr>
            <w:tcW w:w="1701"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3</w:t>
            </w:r>
          </w:p>
        </w:tc>
        <w:tc>
          <w:tcPr>
            <w:tcW w:w="2620" w:type="dxa"/>
            <w:tcBorders>
              <w:top w:val="single" w:color="auto" w:sz="4" w:space="0"/>
              <w:left w:val="nil"/>
              <w:bottom w:val="single" w:color="auto" w:sz="4" w:space="0"/>
              <w:right w:val="single" w:color="auto" w:sz="4" w:space="0"/>
            </w:tcBorders>
          </w:tcPr>
          <w:p>
            <w:pPr>
              <w:widowControl/>
              <w:spacing w:line="360" w:lineRule="auto"/>
              <w:jc w:val="left"/>
              <w:rPr>
                <w:rFonts w:ascii="楷体" w:hAnsi="楷体" w:eastAsia="楷体"/>
                <w:kern w:val="0"/>
                <w:sz w:val="28"/>
                <w:szCs w:val="28"/>
              </w:rPr>
            </w:pPr>
            <w:r>
              <w:rPr>
                <w:rFonts w:hint="eastAsia" w:ascii="楷体" w:hAnsi="楷体" w:eastAsia="楷体"/>
                <w:kern w:val="0"/>
                <w:sz w:val="28"/>
                <w:szCs w:val="28"/>
              </w:rPr>
              <w:t>智能医疗装备技术</w:t>
            </w:r>
          </w:p>
        </w:tc>
        <w:tc>
          <w:tcPr>
            <w:tcW w:w="1559"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20</w:t>
            </w:r>
          </w:p>
        </w:tc>
        <w:tc>
          <w:tcPr>
            <w:tcW w:w="1701"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40</w:t>
            </w:r>
          </w:p>
        </w:tc>
        <w:tc>
          <w:tcPr>
            <w:tcW w:w="992"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三年</w:t>
            </w:r>
          </w:p>
        </w:tc>
        <w:tc>
          <w:tcPr>
            <w:tcW w:w="1701"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4</w:t>
            </w:r>
          </w:p>
        </w:tc>
        <w:tc>
          <w:tcPr>
            <w:tcW w:w="2620" w:type="dxa"/>
            <w:tcBorders>
              <w:top w:val="single" w:color="auto" w:sz="4" w:space="0"/>
              <w:left w:val="nil"/>
              <w:bottom w:val="single" w:color="auto" w:sz="4" w:space="0"/>
              <w:right w:val="single" w:color="auto" w:sz="4" w:space="0"/>
            </w:tcBorders>
          </w:tcPr>
          <w:p>
            <w:pPr>
              <w:widowControl/>
              <w:spacing w:line="360" w:lineRule="auto"/>
              <w:jc w:val="left"/>
              <w:rPr>
                <w:rFonts w:ascii="楷体" w:hAnsi="楷体" w:eastAsia="楷体"/>
                <w:kern w:val="0"/>
                <w:sz w:val="28"/>
                <w:szCs w:val="28"/>
              </w:rPr>
            </w:pPr>
            <w:r>
              <w:rPr>
                <w:rFonts w:hint="eastAsia" w:ascii="楷体" w:hAnsi="楷体" w:eastAsia="楷体"/>
                <w:kern w:val="0"/>
                <w:sz w:val="28"/>
                <w:szCs w:val="28"/>
              </w:rPr>
              <w:t>食品检验检测技术</w:t>
            </w:r>
          </w:p>
        </w:tc>
        <w:tc>
          <w:tcPr>
            <w:tcW w:w="1559"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40</w:t>
            </w:r>
          </w:p>
        </w:tc>
        <w:tc>
          <w:tcPr>
            <w:tcW w:w="1701"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20</w:t>
            </w:r>
          </w:p>
        </w:tc>
        <w:tc>
          <w:tcPr>
            <w:tcW w:w="992"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三年</w:t>
            </w:r>
          </w:p>
        </w:tc>
        <w:tc>
          <w:tcPr>
            <w:tcW w:w="1701"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5</w:t>
            </w:r>
          </w:p>
        </w:tc>
        <w:tc>
          <w:tcPr>
            <w:tcW w:w="2620" w:type="dxa"/>
            <w:tcBorders>
              <w:top w:val="single" w:color="auto" w:sz="4" w:space="0"/>
              <w:left w:val="nil"/>
              <w:bottom w:val="single" w:color="auto" w:sz="4" w:space="0"/>
              <w:right w:val="single" w:color="auto" w:sz="4" w:space="0"/>
            </w:tcBorders>
          </w:tcPr>
          <w:p>
            <w:pPr>
              <w:widowControl/>
              <w:spacing w:line="360" w:lineRule="auto"/>
              <w:jc w:val="left"/>
              <w:rPr>
                <w:rFonts w:ascii="楷体" w:hAnsi="楷体" w:eastAsia="楷体"/>
                <w:kern w:val="0"/>
                <w:sz w:val="28"/>
                <w:szCs w:val="28"/>
              </w:rPr>
            </w:pPr>
            <w:r>
              <w:rPr>
                <w:rFonts w:hint="eastAsia" w:ascii="楷体" w:hAnsi="楷体" w:eastAsia="楷体"/>
                <w:kern w:val="0"/>
                <w:sz w:val="28"/>
                <w:szCs w:val="28"/>
              </w:rPr>
              <w:t>中医康复技术</w:t>
            </w:r>
          </w:p>
        </w:tc>
        <w:tc>
          <w:tcPr>
            <w:tcW w:w="1559"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p>
        </w:tc>
        <w:tc>
          <w:tcPr>
            <w:tcW w:w="1701"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40</w:t>
            </w:r>
          </w:p>
        </w:tc>
        <w:tc>
          <w:tcPr>
            <w:tcW w:w="992"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三年</w:t>
            </w:r>
          </w:p>
        </w:tc>
        <w:tc>
          <w:tcPr>
            <w:tcW w:w="1701"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6</w:t>
            </w:r>
          </w:p>
        </w:tc>
        <w:tc>
          <w:tcPr>
            <w:tcW w:w="2620" w:type="dxa"/>
            <w:tcBorders>
              <w:top w:val="single" w:color="auto" w:sz="4" w:space="0"/>
              <w:left w:val="nil"/>
              <w:bottom w:val="single" w:color="auto" w:sz="4" w:space="0"/>
              <w:right w:val="single" w:color="auto" w:sz="4" w:space="0"/>
            </w:tcBorders>
          </w:tcPr>
          <w:p>
            <w:pPr>
              <w:widowControl/>
              <w:spacing w:line="360" w:lineRule="auto"/>
              <w:jc w:val="left"/>
              <w:rPr>
                <w:rFonts w:ascii="楷体" w:hAnsi="楷体" w:eastAsia="楷体"/>
                <w:kern w:val="0"/>
                <w:sz w:val="28"/>
                <w:szCs w:val="28"/>
              </w:rPr>
            </w:pPr>
            <w:r>
              <w:rPr>
                <w:rFonts w:ascii="楷体" w:hAnsi="楷体" w:eastAsia="楷体"/>
                <w:kern w:val="0"/>
                <w:sz w:val="28"/>
                <w:szCs w:val="28"/>
              </w:rPr>
              <w:t>中药学</w:t>
            </w:r>
          </w:p>
        </w:tc>
        <w:tc>
          <w:tcPr>
            <w:tcW w:w="1559"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20</w:t>
            </w:r>
          </w:p>
        </w:tc>
        <w:tc>
          <w:tcPr>
            <w:tcW w:w="1701"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p>
        </w:tc>
        <w:tc>
          <w:tcPr>
            <w:tcW w:w="992"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三年</w:t>
            </w:r>
          </w:p>
        </w:tc>
        <w:tc>
          <w:tcPr>
            <w:tcW w:w="1701"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7</w:t>
            </w:r>
          </w:p>
        </w:tc>
        <w:tc>
          <w:tcPr>
            <w:tcW w:w="2620" w:type="dxa"/>
            <w:tcBorders>
              <w:top w:val="single" w:color="auto" w:sz="4" w:space="0"/>
              <w:left w:val="nil"/>
              <w:bottom w:val="single" w:color="auto" w:sz="4" w:space="0"/>
              <w:right w:val="single" w:color="auto" w:sz="4" w:space="0"/>
            </w:tcBorders>
            <w:vAlign w:val="center"/>
          </w:tcPr>
          <w:p>
            <w:pPr>
              <w:widowControl/>
              <w:spacing w:line="360" w:lineRule="auto"/>
              <w:rPr>
                <w:rFonts w:ascii="楷体" w:hAnsi="楷体" w:eastAsia="楷体"/>
                <w:kern w:val="0"/>
                <w:sz w:val="28"/>
                <w:szCs w:val="28"/>
              </w:rPr>
            </w:pPr>
            <w:r>
              <w:rPr>
                <w:rFonts w:hint="eastAsia" w:ascii="楷体" w:hAnsi="楷体" w:eastAsia="楷体"/>
                <w:kern w:val="0"/>
                <w:sz w:val="28"/>
                <w:szCs w:val="28"/>
              </w:rPr>
              <w:t>智慧健康养老服务与管理</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40</w:t>
            </w: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20</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三年</w:t>
            </w: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8800</w:t>
            </w:r>
          </w:p>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校企合作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楷体" w:hAnsi="楷体" w:eastAsia="楷体"/>
                <w:b/>
                <w:bCs/>
                <w:kern w:val="0"/>
                <w:sz w:val="28"/>
                <w:szCs w:val="28"/>
              </w:rPr>
            </w:pPr>
            <w:r>
              <w:rPr>
                <w:rFonts w:hint="eastAsia" w:ascii="楷体" w:hAnsi="楷体" w:eastAsia="楷体"/>
                <w:b/>
                <w:bCs/>
                <w:kern w:val="0"/>
                <w:sz w:val="28"/>
                <w:szCs w:val="28"/>
              </w:rPr>
              <w:t>合   计</w:t>
            </w:r>
          </w:p>
        </w:tc>
        <w:tc>
          <w:tcPr>
            <w:tcW w:w="1559"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180</w:t>
            </w:r>
          </w:p>
        </w:tc>
        <w:tc>
          <w:tcPr>
            <w:tcW w:w="1701"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r>
              <w:rPr>
                <w:rFonts w:hint="eastAsia" w:ascii="楷体" w:hAnsi="楷体" w:eastAsia="楷体"/>
                <w:kern w:val="0"/>
                <w:sz w:val="28"/>
                <w:szCs w:val="28"/>
              </w:rPr>
              <w:t>180</w:t>
            </w:r>
          </w:p>
        </w:tc>
        <w:tc>
          <w:tcPr>
            <w:tcW w:w="992"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p>
        </w:tc>
        <w:tc>
          <w:tcPr>
            <w:tcW w:w="1701" w:type="dxa"/>
            <w:tcBorders>
              <w:top w:val="single" w:color="auto" w:sz="4" w:space="0"/>
              <w:left w:val="nil"/>
              <w:bottom w:val="single" w:color="auto" w:sz="4" w:space="0"/>
              <w:right w:val="single" w:color="auto" w:sz="4" w:space="0"/>
            </w:tcBorders>
          </w:tcPr>
          <w:p>
            <w:pPr>
              <w:widowControl/>
              <w:spacing w:line="360" w:lineRule="auto"/>
              <w:jc w:val="center"/>
              <w:rPr>
                <w:rFonts w:ascii="楷体" w:hAnsi="楷体" w:eastAsia="楷体"/>
                <w:kern w:val="0"/>
                <w:sz w:val="28"/>
                <w:szCs w:val="28"/>
              </w:rPr>
            </w:pPr>
          </w:p>
        </w:tc>
      </w:tr>
    </w:tbl>
    <w:p>
      <w:pPr>
        <w:spacing w:before="156" w:beforeLines="50"/>
        <w:rPr>
          <w:rFonts w:ascii="楷体" w:hAnsi="楷体" w:eastAsia="楷体"/>
          <w:sz w:val="28"/>
          <w:szCs w:val="28"/>
        </w:rPr>
      </w:pPr>
      <w:r>
        <w:rPr>
          <w:rFonts w:hint="eastAsia" w:ascii="楷体" w:hAnsi="楷体" w:eastAsia="楷体"/>
          <w:sz w:val="28"/>
          <w:szCs w:val="28"/>
        </w:rPr>
        <w:t>注：根据国家教育部下发的《高等职业教育（专科）新旧专业对照表（最新版）》，我院部分专业更新了名称，包括：（1）“老年服务与管理”更名为“智慧健康养老服务与管理”；（2）“医疗设备应用技术”更名为“智能医疗装备技术”；（3）“食品营养与检测”更名为“食品检验检测技术”。</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641F2"/>
    <w:multiLevelType w:val="singleLevel"/>
    <w:tmpl w:val="DBE641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2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2021-02-21T00:14:21Z</dcterms:created>
  <dc:creator>10840</dc:creator>
  <cp:lastModifiedBy>王中王</cp:lastModifiedBy>
  <dcterms:modified xsi:type="dcterms:W3CDTF">2021-02-21T00:14:59Z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